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94" w:rsidRDefault="007F6D94" w:rsidP="007F6D94">
      <w:pPr>
        <w:spacing w:after="0" w:line="360" w:lineRule="auto"/>
        <w:jc w:val="center"/>
        <w:rPr>
          <w:rFonts w:ascii="Cambria" w:eastAsia="Calibri" w:hAnsi="Cambria" w:cs="Iskoola Pota"/>
          <w:b/>
          <w:bCs/>
          <w:sz w:val="28"/>
          <w:szCs w:val="24"/>
        </w:rPr>
      </w:pPr>
      <w:bookmarkStart w:id="0" w:name="_GoBack"/>
      <w:bookmarkEnd w:id="0"/>
      <w:r w:rsidRPr="007F6D94">
        <w:rPr>
          <w:rFonts w:ascii="Cambria" w:eastAsia="Calibri" w:hAnsi="Cambria" w:cs="Iskoola Pota"/>
          <w:b/>
          <w:bCs/>
          <w:sz w:val="28"/>
          <w:szCs w:val="24"/>
        </w:rPr>
        <w:t>Guidelines for</w:t>
      </w:r>
      <w:r w:rsidR="00AC31A4">
        <w:rPr>
          <w:rFonts w:ascii="Cambria" w:eastAsia="Calibri" w:hAnsi="Cambria" w:cs="Iskoola Pota"/>
          <w:b/>
          <w:bCs/>
          <w:sz w:val="28"/>
          <w:szCs w:val="24"/>
        </w:rPr>
        <w:t xml:space="preserve"> the</w:t>
      </w:r>
      <w:r w:rsidRPr="007F6D94">
        <w:rPr>
          <w:rFonts w:ascii="Cambria" w:eastAsia="Calibri" w:hAnsi="Cambria" w:cs="Iskoola Pota"/>
          <w:b/>
          <w:bCs/>
          <w:sz w:val="28"/>
          <w:szCs w:val="24"/>
        </w:rPr>
        <w:t xml:space="preserve"> Utilization of </w:t>
      </w:r>
      <w:r>
        <w:rPr>
          <w:rFonts w:ascii="Cambria" w:eastAsia="Calibri" w:hAnsi="Cambria" w:cs="Iskoola Pota"/>
          <w:b/>
          <w:bCs/>
          <w:sz w:val="28"/>
          <w:szCs w:val="24"/>
        </w:rPr>
        <w:t>Mini-</w:t>
      </w:r>
      <w:r w:rsidRPr="007F6D94">
        <w:rPr>
          <w:rFonts w:ascii="Cambria" w:eastAsia="Calibri" w:hAnsi="Cambria" w:cs="Iskoola Pota"/>
          <w:b/>
          <w:bCs/>
          <w:sz w:val="28"/>
          <w:szCs w:val="24"/>
        </w:rPr>
        <w:t xml:space="preserve">Research </w:t>
      </w:r>
      <w:r w:rsidR="00475914">
        <w:rPr>
          <w:rFonts w:ascii="Cambria" w:eastAsia="Calibri" w:hAnsi="Cambria" w:cs="Iskoola Pota"/>
          <w:b/>
          <w:bCs/>
          <w:sz w:val="28"/>
          <w:szCs w:val="24"/>
        </w:rPr>
        <w:t>Gran</w:t>
      </w:r>
      <w:r>
        <w:rPr>
          <w:rFonts w:ascii="Cambria" w:eastAsia="Calibri" w:hAnsi="Cambria" w:cs="Iskoola Pota"/>
          <w:b/>
          <w:bCs/>
          <w:sz w:val="28"/>
          <w:szCs w:val="24"/>
        </w:rPr>
        <w:t>ts</w:t>
      </w:r>
    </w:p>
    <w:p w:rsidR="007F6D94" w:rsidRDefault="007F6D94" w:rsidP="007F6D94">
      <w:pPr>
        <w:spacing w:after="0"/>
        <w:jc w:val="center"/>
        <w:rPr>
          <w:rFonts w:ascii="Cambria" w:eastAsia="Calibri" w:hAnsi="Cambria" w:cs="Iskoola Pota"/>
          <w:b/>
          <w:bCs/>
          <w:sz w:val="28"/>
          <w:szCs w:val="24"/>
        </w:rPr>
      </w:pPr>
      <w:r>
        <w:rPr>
          <w:rFonts w:ascii="Cambria" w:eastAsia="Calibri" w:hAnsi="Cambria" w:cs="Iskoola Pota"/>
          <w:b/>
          <w:bCs/>
          <w:sz w:val="28"/>
          <w:szCs w:val="24"/>
        </w:rPr>
        <w:t>Multi-Disciplinary Research Centre</w:t>
      </w:r>
    </w:p>
    <w:p w:rsidR="007F6D94" w:rsidRPr="007F6D94" w:rsidRDefault="007F6D94" w:rsidP="007F6D94">
      <w:pPr>
        <w:spacing w:after="0"/>
        <w:jc w:val="center"/>
        <w:rPr>
          <w:rFonts w:ascii="Cambria" w:eastAsia="Calibri" w:hAnsi="Cambria" w:cs="Iskoola Pota"/>
          <w:b/>
          <w:bCs/>
          <w:sz w:val="24"/>
          <w:szCs w:val="24"/>
        </w:rPr>
      </w:pPr>
      <w:r w:rsidRPr="007F6D94">
        <w:rPr>
          <w:rFonts w:ascii="Cambria" w:eastAsia="Calibri" w:hAnsi="Cambria" w:cs="Iskoola Pota"/>
          <w:b/>
          <w:bCs/>
          <w:sz w:val="24"/>
          <w:szCs w:val="24"/>
        </w:rPr>
        <w:t>Faculty of Humanities and Social Sciences</w:t>
      </w:r>
    </w:p>
    <w:p w:rsidR="007F6D94" w:rsidRPr="007F6D94" w:rsidRDefault="007F6D94" w:rsidP="007F6D94">
      <w:pPr>
        <w:spacing w:after="0"/>
        <w:jc w:val="center"/>
        <w:rPr>
          <w:rFonts w:ascii="Cambria" w:eastAsia="Calibri" w:hAnsi="Cambria" w:cs="Iskoola Pota"/>
          <w:b/>
          <w:bCs/>
          <w:sz w:val="24"/>
          <w:szCs w:val="24"/>
        </w:rPr>
      </w:pPr>
      <w:r w:rsidRPr="007F6D94">
        <w:rPr>
          <w:rFonts w:ascii="Cambria" w:eastAsia="Calibri" w:hAnsi="Cambria" w:cs="Iskoola Pota"/>
          <w:b/>
          <w:bCs/>
          <w:sz w:val="24"/>
          <w:szCs w:val="24"/>
        </w:rPr>
        <w:t>University of Sri Jayewardenepura</w:t>
      </w:r>
    </w:p>
    <w:p w:rsidR="007F6D94" w:rsidRDefault="007F6D94" w:rsidP="002B1859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:rsidR="008A3EA5" w:rsidRDefault="008A3EA5" w:rsidP="002B1859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B52D88" w:rsidRDefault="00475914" w:rsidP="00475914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475914">
        <w:rPr>
          <w:rFonts w:asciiTheme="majorHAnsi" w:hAnsiTheme="majorHAnsi"/>
          <w:b/>
          <w:bCs/>
          <w:sz w:val="24"/>
          <w:szCs w:val="24"/>
        </w:rPr>
        <w:t>Mul</w:t>
      </w:r>
      <w:r>
        <w:rPr>
          <w:rFonts w:asciiTheme="majorHAnsi" w:hAnsiTheme="majorHAnsi"/>
          <w:b/>
          <w:bCs/>
          <w:sz w:val="24"/>
          <w:szCs w:val="24"/>
        </w:rPr>
        <w:t xml:space="preserve">ti-Disciplinary Research Centre of the </w:t>
      </w:r>
      <w:r w:rsidRPr="00475914">
        <w:rPr>
          <w:rFonts w:asciiTheme="majorHAnsi" w:hAnsiTheme="majorHAnsi"/>
          <w:b/>
          <w:bCs/>
          <w:sz w:val="24"/>
          <w:szCs w:val="24"/>
        </w:rPr>
        <w:t>Faculty of Humanities and Social Sciences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EB4EBF" w:rsidRPr="00EB4EBF">
        <w:rPr>
          <w:rFonts w:asciiTheme="majorHAnsi" w:hAnsiTheme="majorHAnsi"/>
          <w:b/>
          <w:bCs/>
          <w:sz w:val="24"/>
          <w:szCs w:val="24"/>
        </w:rPr>
        <w:t xml:space="preserve">call applications for </w:t>
      </w:r>
      <w:r>
        <w:rPr>
          <w:rFonts w:asciiTheme="majorHAnsi" w:hAnsiTheme="majorHAnsi"/>
          <w:b/>
          <w:bCs/>
          <w:sz w:val="24"/>
          <w:szCs w:val="24"/>
        </w:rPr>
        <w:t>M</w:t>
      </w:r>
      <w:r w:rsidR="003D7763">
        <w:rPr>
          <w:rFonts w:asciiTheme="majorHAnsi" w:hAnsiTheme="majorHAnsi"/>
          <w:b/>
          <w:bCs/>
          <w:sz w:val="24"/>
          <w:szCs w:val="24"/>
        </w:rPr>
        <w:t xml:space="preserve">ini </w:t>
      </w:r>
      <w:r>
        <w:rPr>
          <w:rFonts w:asciiTheme="majorHAnsi" w:hAnsiTheme="majorHAnsi"/>
          <w:b/>
          <w:bCs/>
          <w:sz w:val="24"/>
          <w:szCs w:val="24"/>
        </w:rPr>
        <w:t>R</w:t>
      </w:r>
      <w:r w:rsidR="003D7763">
        <w:rPr>
          <w:rFonts w:asciiTheme="majorHAnsi" w:hAnsiTheme="majorHAnsi"/>
          <w:b/>
          <w:bCs/>
          <w:sz w:val="24"/>
          <w:szCs w:val="24"/>
        </w:rPr>
        <w:t xml:space="preserve">esearch </w:t>
      </w:r>
      <w:r>
        <w:rPr>
          <w:rFonts w:asciiTheme="majorHAnsi" w:hAnsiTheme="majorHAnsi"/>
          <w:b/>
          <w:bCs/>
          <w:sz w:val="24"/>
          <w:szCs w:val="24"/>
        </w:rPr>
        <w:t>G</w:t>
      </w:r>
      <w:r w:rsidR="00FF4512" w:rsidRPr="00FF4512">
        <w:rPr>
          <w:rFonts w:asciiTheme="majorHAnsi" w:hAnsiTheme="majorHAnsi"/>
          <w:b/>
          <w:bCs/>
          <w:sz w:val="24"/>
          <w:szCs w:val="24"/>
        </w:rPr>
        <w:t>rants</w:t>
      </w:r>
      <w:r>
        <w:rPr>
          <w:rFonts w:asciiTheme="majorHAnsi" w:hAnsiTheme="majorHAnsi"/>
          <w:b/>
          <w:bCs/>
          <w:sz w:val="24"/>
          <w:szCs w:val="24"/>
        </w:rPr>
        <w:t xml:space="preserve"> for</w:t>
      </w:r>
      <w:r w:rsidR="003D7763">
        <w:rPr>
          <w:rFonts w:asciiTheme="majorHAnsi" w:hAnsiTheme="majorHAnsi"/>
          <w:b/>
          <w:bCs/>
          <w:sz w:val="24"/>
          <w:szCs w:val="24"/>
        </w:rPr>
        <w:t xml:space="preserve"> short term research projects to encourage the faculty members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475914">
        <w:rPr>
          <w:rFonts w:asciiTheme="majorHAnsi" w:hAnsiTheme="majorHAnsi"/>
          <w:b/>
          <w:bCs/>
          <w:sz w:val="24"/>
          <w:szCs w:val="24"/>
        </w:rPr>
        <w:t>to engage in high quality research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:rsidR="00475914" w:rsidRDefault="00475914" w:rsidP="00475914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C1D57" w:rsidRDefault="00AC31A4" w:rsidP="002B1859">
      <w:pPr>
        <w:spacing w:after="0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 d</w:t>
      </w:r>
      <w:r w:rsidR="004C1D57" w:rsidRPr="003F4E88">
        <w:rPr>
          <w:rFonts w:asciiTheme="majorHAnsi" w:hAnsiTheme="majorHAnsi"/>
          <w:bCs/>
          <w:sz w:val="24"/>
          <w:szCs w:val="24"/>
        </w:rPr>
        <w:t xml:space="preserve">uly completed </w:t>
      </w:r>
      <w:r>
        <w:rPr>
          <w:rFonts w:asciiTheme="majorHAnsi" w:hAnsiTheme="majorHAnsi"/>
          <w:bCs/>
          <w:sz w:val="24"/>
          <w:szCs w:val="24"/>
        </w:rPr>
        <w:t>a</w:t>
      </w:r>
      <w:r w:rsidR="004C1D57" w:rsidRPr="003F4E88">
        <w:rPr>
          <w:rFonts w:asciiTheme="majorHAnsi" w:hAnsiTheme="majorHAnsi"/>
          <w:bCs/>
          <w:sz w:val="24"/>
          <w:szCs w:val="24"/>
        </w:rPr>
        <w:t>pplication form with</w:t>
      </w:r>
      <w:r>
        <w:rPr>
          <w:rFonts w:asciiTheme="majorHAnsi" w:hAnsiTheme="majorHAnsi"/>
          <w:bCs/>
          <w:sz w:val="24"/>
          <w:szCs w:val="24"/>
        </w:rPr>
        <w:t xml:space="preserve"> a</w:t>
      </w:r>
      <w:r w:rsidR="004C1D57" w:rsidRPr="003F4E88">
        <w:rPr>
          <w:rFonts w:asciiTheme="majorHAnsi" w:hAnsiTheme="majorHAnsi"/>
          <w:bCs/>
          <w:sz w:val="24"/>
          <w:szCs w:val="24"/>
        </w:rPr>
        <w:t xml:space="preserve"> </w:t>
      </w:r>
      <w:r w:rsidRPr="003F4E88">
        <w:rPr>
          <w:rFonts w:asciiTheme="majorHAnsi" w:hAnsiTheme="majorHAnsi"/>
          <w:bCs/>
          <w:sz w:val="24"/>
          <w:szCs w:val="24"/>
        </w:rPr>
        <w:t xml:space="preserve">Research </w:t>
      </w:r>
      <w:r>
        <w:rPr>
          <w:rFonts w:asciiTheme="majorHAnsi" w:hAnsiTheme="majorHAnsi"/>
          <w:bCs/>
          <w:sz w:val="24"/>
          <w:szCs w:val="24"/>
        </w:rPr>
        <w:t>P</w:t>
      </w:r>
      <w:r w:rsidRPr="003F4E88">
        <w:rPr>
          <w:rFonts w:asciiTheme="majorHAnsi" w:hAnsiTheme="majorHAnsi"/>
          <w:bCs/>
          <w:sz w:val="24"/>
          <w:szCs w:val="24"/>
        </w:rPr>
        <w:t>roposal</w:t>
      </w:r>
      <w:r w:rsidR="004C1D57" w:rsidRPr="003F4E88">
        <w:rPr>
          <w:rFonts w:asciiTheme="majorHAnsi" w:hAnsiTheme="majorHAnsi"/>
          <w:bCs/>
          <w:sz w:val="24"/>
          <w:szCs w:val="24"/>
        </w:rPr>
        <w:t xml:space="preserve"> (</w:t>
      </w:r>
      <w:r w:rsidR="003F4E88" w:rsidRPr="003F4E88">
        <w:rPr>
          <w:rFonts w:asciiTheme="majorHAnsi" w:hAnsiTheme="majorHAnsi"/>
          <w:bCs/>
          <w:sz w:val="24"/>
          <w:szCs w:val="24"/>
        </w:rPr>
        <w:t>not more than 2000 words, i</w:t>
      </w:r>
      <w:r w:rsidR="004C1D57" w:rsidRPr="003F4E88">
        <w:rPr>
          <w:rFonts w:asciiTheme="majorHAnsi" w:hAnsiTheme="majorHAnsi"/>
          <w:bCs/>
          <w:sz w:val="24"/>
          <w:szCs w:val="24"/>
        </w:rPr>
        <w:t xml:space="preserve">ncluding Introduction, </w:t>
      </w:r>
      <w:r w:rsidR="003F4E88" w:rsidRPr="003F4E88">
        <w:rPr>
          <w:rFonts w:asciiTheme="majorHAnsi" w:hAnsiTheme="majorHAnsi"/>
          <w:bCs/>
          <w:sz w:val="24"/>
          <w:szCs w:val="24"/>
        </w:rPr>
        <w:t xml:space="preserve">Objectives, </w:t>
      </w:r>
      <w:r w:rsidR="003F4E88">
        <w:rPr>
          <w:rFonts w:asciiTheme="majorHAnsi" w:hAnsiTheme="majorHAnsi"/>
          <w:bCs/>
          <w:sz w:val="24"/>
          <w:szCs w:val="24"/>
        </w:rPr>
        <w:t>Methodology and T</w:t>
      </w:r>
      <w:r w:rsidR="003F4E88" w:rsidRPr="003F4E88">
        <w:rPr>
          <w:rFonts w:asciiTheme="majorHAnsi" w:hAnsiTheme="majorHAnsi"/>
          <w:bCs/>
          <w:sz w:val="24"/>
          <w:szCs w:val="24"/>
        </w:rPr>
        <w:t>ime frame</w:t>
      </w:r>
      <w:r w:rsidR="004C1D57" w:rsidRPr="003F4E88">
        <w:rPr>
          <w:rFonts w:asciiTheme="majorHAnsi" w:hAnsiTheme="majorHAnsi"/>
          <w:bCs/>
          <w:sz w:val="24"/>
          <w:szCs w:val="24"/>
        </w:rPr>
        <w:t>)</w:t>
      </w:r>
      <w:r w:rsidR="003F4E88" w:rsidRPr="003F4E88">
        <w:rPr>
          <w:rFonts w:asciiTheme="majorHAnsi" w:hAnsiTheme="majorHAnsi"/>
          <w:bCs/>
          <w:sz w:val="24"/>
          <w:szCs w:val="24"/>
        </w:rPr>
        <w:t xml:space="preserve"> </w:t>
      </w:r>
      <w:r w:rsidR="004C1D57" w:rsidRPr="003F4E88">
        <w:rPr>
          <w:rFonts w:asciiTheme="majorHAnsi" w:hAnsiTheme="majorHAnsi"/>
          <w:bCs/>
          <w:sz w:val="24"/>
          <w:szCs w:val="24"/>
        </w:rPr>
        <w:t>should be submitted to the</w:t>
      </w:r>
      <w:r w:rsidR="003F4E88">
        <w:rPr>
          <w:rFonts w:asciiTheme="majorHAnsi" w:hAnsiTheme="majorHAnsi"/>
          <w:bCs/>
          <w:sz w:val="24"/>
          <w:szCs w:val="24"/>
        </w:rPr>
        <w:t xml:space="preserve"> MDRC</w:t>
      </w:r>
      <w:r w:rsidR="00B52D88">
        <w:rPr>
          <w:rFonts w:asciiTheme="majorHAnsi" w:hAnsiTheme="majorHAnsi"/>
          <w:bCs/>
          <w:sz w:val="24"/>
          <w:szCs w:val="24"/>
        </w:rPr>
        <w:t xml:space="preserve"> on or before </w:t>
      </w: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B52D88" w:rsidRPr="00475914">
        <w:rPr>
          <w:rFonts w:asciiTheme="majorHAnsi" w:hAnsiTheme="majorHAnsi"/>
          <w:b/>
          <w:bCs/>
          <w:sz w:val="24"/>
          <w:szCs w:val="24"/>
        </w:rPr>
        <w:t>20th January 2019</w:t>
      </w:r>
      <w:r w:rsidR="00475914">
        <w:rPr>
          <w:rFonts w:asciiTheme="majorHAnsi" w:hAnsiTheme="majorHAnsi"/>
          <w:bCs/>
          <w:sz w:val="24"/>
          <w:szCs w:val="24"/>
        </w:rPr>
        <w:t xml:space="preserve"> to the MDRC</w:t>
      </w:r>
      <w:r>
        <w:rPr>
          <w:rFonts w:asciiTheme="majorHAnsi" w:hAnsiTheme="majorHAnsi"/>
          <w:bCs/>
          <w:sz w:val="24"/>
          <w:szCs w:val="24"/>
        </w:rPr>
        <w:t xml:space="preserve"> office.</w:t>
      </w:r>
    </w:p>
    <w:p w:rsidR="00475914" w:rsidRDefault="00475914" w:rsidP="002B1859">
      <w:pPr>
        <w:spacing w:after="0"/>
        <w:jc w:val="both"/>
        <w:rPr>
          <w:rFonts w:asciiTheme="majorHAnsi" w:hAnsiTheme="majorHAnsi"/>
          <w:bCs/>
          <w:sz w:val="24"/>
          <w:szCs w:val="24"/>
        </w:rPr>
      </w:pPr>
    </w:p>
    <w:p w:rsidR="003D7763" w:rsidRDefault="003D7763" w:rsidP="00EB4EBF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Research time frame should be 3 months. </w:t>
      </w:r>
      <w:r w:rsidR="00EB4EBF">
        <w:rPr>
          <w:rFonts w:asciiTheme="majorHAnsi" w:hAnsiTheme="majorHAnsi"/>
          <w:bCs/>
          <w:sz w:val="24"/>
          <w:szCs w:val="24"/>
        </w:rPr>
        <w:t>A</w:t>
      </w:r>
      <w:r w:rsidR="00EB4EBF" w:rsidRPr="00EB4EBF">
        <w:t xml:space="preserve"> </w:t>
      </w:r>
      <w:r w:rsidR="00EB4EBF" w:rsidRPr="00EB4EBF">
        <w:rPr>
          <w:rFonts w:asciiTheme="majorHAnsi" w:hAnsiTheme="majorHAnsi"/>
          <w:bCs/>
          <w:sz w:val="24"/>
          <w:szCs w:val="24"/>
        </w:rPr>
        <w:t>published/submitted</w:t>
      </w:r>
      <w:r w:rsidR="00EB4EBF">
        <w:rPr>
          <w:rFonts w:asciiTheme="majorHAnsi" w:hAnsiTheme="majorHAnsi"/>
          <w:bCs/>
          <w:sz w:val="24"/>
          <w:szCs w:val="24"/>
        </w:rPr>
        <w:t xml:space="preserve"> r</w:t>
      </w:r>
      <w:r w:rsidR="00B52D88">
        <w:rPr>
          <w:rFonts w:asciiTheme="majorHAnsi" w:hAnsiTheme="majorHAnsi"/>
          <w:bCs/>
          <w:sz w:val="24"/>
          <w:szCs w:val="24"/>
        </w:rPr>
        <w:t xml:space="preserve">esearch </w:t>
      </w:r>
      <w:r w:rsidR="00EB4EBF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 xml:space="preserve">aper should be </w:t>
      </w:r>
      <w:r w:rsidR="00EB4EBF" w:rsidRPr="00EB4EBF">
        <w:rPr>
          <w:rFonts w:asciiTheme="majorHAnsi" w:hAnsiTheme="majorHAnsi"/>
          <w:bCs/>
          <w:sz w:val="24"/>
          <w:szCs w:val="24"/>
        </w:rPr>
        <w:t>handed over to MDRC</w:t>
      </w:r>
      <w:r>
        <w:rPr>
          <w:rFonts w:asciiTheme="majorHAnsi" w:hAnsiTheme="majorHAnsi"/>
          <w:bCs/>
          <w:sz w:val="24"/>
          <w:szCs w:val="24"/>
        </w:rPr>
        <w:t xml:space="preserve"> within 6 months</w:t>
      </w:r>
      <w:r w:rsidR="00EB4EBF" w:rsidRPr="00EB4EBF">
        <w:t xml:space="preserve"> </w:t>
      </w:r>
      <w:r w:rsidR="00EB4EBF">
        <w:rPr>
          <w:rFonts w:asciiTheme="majorHAnsi" w:hAnsiTheme="majorHAnsi"/>
          <w:bCs/>
          <w:sz w:val="24"/>
          <w:szCs w:val="24"/>
        </w:rPr>
        <w:t>of granting the money.</w:t>
      </w:r>
    </w:p>
    <w:p w:rsidR="008A3EA5" w:rsidRPr="003F4E88" w:rsidRDefault="004C1D57" w:rsidP="002B1859">
      <w:pPr>
        <w:spacing w:after="0"/>
        <w:jc w:val="both"/>
        <w:rPr>
          <w:rFonts w:asciiTheme="majorHAnsi" w:hAnsiTheme="majorHAnsi"/>
          <w:bCs/>
          <w:sz w:val="24"/>
          <w:szCs w:val="24"/>
        </w:rPr>
      </w:pPr>
      <w:r w:rsidRPr="003F4E88">
        <w:rPr>
          <w:rFonts w:asciiTheme="majorHAnsi" w:hAnsiTheme="majorHAnsi"/>
          <w:bCs/>
          <w:sz w:val="24"/>
          <w:szCs w:val="24"/>
        </w:rPr>
        <w:t xml:space="preserve">Budget </w:t>
      </w:r>
      <w:r w:rsidR="003D7763">
        <w:rPr>
          <w:rFonts w:asciiTheme="majorHAnsi" w:hAnsiTheme="majorHAnsi"/>
          <w:bCs/>
          <w:sz w:val="24"/>
          <w:szCs w:val="24"/>
        </w:rPr>
        <w:t xml:space="preserve">(maximum of Rs.200,000.00) </w:t>
      </w:r>
      <w:r w:rsidRPr="003F4E88">
        <w:rPr>
          <w:rFonts w:asciiTheme="majorHAnsi" w:hAnsiTheme="majorHAnsi"/>
          <w:bCs/>
          <w:sz w:val="24"/>
          <w:szCs w:val="24"/>
        </w:rPr>
        <w:t>has to be submitted according to the</w:t>
      </w:r>
      <w:r w:rsidR="00EB4EBF">
        <w:rPr>
          <w:rFonts w:asciiTheme="majorHAnsi" w:hAnsiTheme="majorHAnsi"/>
          <w:bCs/>
          <w:sz w:val="24"/>
          <w:szCs w:val="24"/>
        </w:rPr>
        <w:t xml:space="preserve"> following break</w:t>
      </w:r>
      <w:r w:rsidRPr="003F4E88">
        <w:rPr>
          <w:rFonts w:asciiTheme="majorHAnsi" w:hAnsiTheme="majorHAnsi"/>
          <w:bCs/>
          <w:sz w:val="24"/>
          <w:szCs w:val="24"/>
        </w:rPr>
        <w:t>down given</w:t>
      </w:r>
      <w:r w:rsidR="00EB4EBF">
        <w:rPr>
          <w:rFonts w:asciiTheme="majorHAnsi" w:hAnsiTheme="majorHAnsi"/>
          <w:bCs/>
          <w:sz w:val="24"/>
          <w:szCs w:val="24"/>
        </w:rPr>
        <w:t>.</w:t>
      </w:r>
      <w:r w:rsidRPr="003F4E88">
        <w:rPr>
          <w:rFonts w:asciiTheme="majorHAnsi" w:hAnsiTheme="majorHAnsi"/>
          <w:bCs/>
          <w:sz w:val="24"/>
          <w:szCs w:val="24"/>
        </w:rPr>
        <w:t xml:space="preserve"> Travelling</w:t>
      </w:r>
      <w:r w:rsidR="0083626E">
        <w:rPr>
          <w:rFonts w:asciiTheme="majorHAnsi" w:hAnsiTheme="majorHAnsi"/>
          <w:bCs/>
          <w:sz w:val="24"/>
          <w:szCs w:val="24"/>
        </w:rPr>
        <w:t xml:space="preserve">, accommodation and subsistence </w:t>
      </w:r>
      <w:r w:rsidRPr="003F4E88">
        <w:rPr>
          <w:rFonts w:asciiTheme="majorHAnsi" w:hAnsiTheme="majorHAnsi"/>
          <w:bCs/>
          <w:sz w:val="24"/>
          <w:szCs w:val="24"/>
        </w:rPr>
        <w:t>h</w:t>
      </w:r>
      <w:r w:rsidR="00EB4EBF">
        <w:rPr>
          <w:rFonts w:asciiTheme="majorHAnsi" w:hAnsiTheme="majorHAnsi"/>
          <w:bCs/>
          <w:sz w:val="24"/>
          <w:szCs w:val="24"/>
        </w:rPr>
        <w:t xml:space="preserve">as to be calculated according to </w:t>
      </w:r>
      <w:r w:rsidRPr="003F4E88">
        <w:rPr>
          <w:rFonts w:asciiTheme="majorHAnsi" w:hAnsiTheme="majorHAnsi"/>
          <w:bCs/>
          <w:sz w:val="24"/>
          <w:szCs w:val="24"/>
        </w:rPr>
        <w:t>UGC, USJP criteria.</w:t>
      </w:r>
    </w:p>
    <w:p w:rsidR="008A3EA5" w:rsidRDefault="008A3EA5" w:rsidP="002B1859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A3586" w:rsidRPr="002B1859" w:rsidRDefault="002B1859" w:rsidP="002B1859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2B1859">
        <w:rPr>
          <w:rFonts w:asciiTheme="majorHAnsi" w:hAnsiTheme="majorHAnsi"/>
          <w:b/>
          <w:bCs/>
          <w:sz w:val="24"/>
          <w:szCs w:val="24"/>
        </w:rPr>
        <w:t>Payments for interviewee</w:t>
      </w:r>
      <w:r w:rsidR="00730E10">
        <w:rPr>
          <w:rFonts w:asciiTheme="majorHAnsi" w:hAnsiTheme="majorHAnsi"/>
          <w:b/>
          <w:bCs/>
          <w:sz w:val="24"/>
          <w:szCs w:val="24"/>
        </w:rPr>
        <w:t>s</w:t>
      </w:r>
    </w:p>
    <w:p w:rsidR="00B52D88" w:rsidRDefault="00266ED9" w:rsidP="002B1859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 payment could be made to an interviewee for</w:t>
      </w:r>
      <w:r w:rsidR="002B1859">
        <w:rPr>
          <w:rFonts w:asciiTheme="majorHAnsi" w:hAnsiTheme="majorHAnsi"/>
          <w:sz w:val="24"/>
          <w:szCs w:val="24"/>
        </w:rPr>
        <w:t xml:space="preserve"> their participation</w:t>
      </w:r>
      <w:r>
        <w:rPr>
          <w:rFonts w:asciiTheme="majorHAnsi" w:hAnsiTheme="majorHAnsi"/>
          <w:sz w:val="24"/>
          <w:szCs w:val="24"/>
        </w:rPr>
        <w:t>.</w:t>
      </w:r>
      <w:r w:rsidR="00F76760">
        <w:rPr>
          <w:rFonts w:asciiTheme="majorHAnsi" w:hAnsiTheme="majorHAnsi"/>
          <w:sz w:val="24"/>
          <w:szCs w:val="24"/>
        </w:rPr>
        <w:t xml:space="preserve"> </w:t>
      </w:r>
    </w:p>
    <w:p w:rsidR="00730E10" w:rsidRDefault="00730E10" w:rsidP="002B1859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30E10" w:rsidRPr="00334523" w:rsidRDefault="00266ED9" w:rsidP="002B1859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Payment for </w:t>
      </w:r>
      <w:r w:rsidR="00730E10" w:rsidRPr="00334523">
        <w:rPr>
          <w:rFonts w:asciiTheme="majorHAnsi" w:hAnsiTheme="majorHAnsi"/>
          <w:b/>
          <w:bCs/>
          <w:sz w:val="24"/>
          <w:szCs w:val="24"/>
        </w:rPr>
        <w:t>Enumerators</w:t>
      </w:r>
    </w:p>
    <w:p w:rsidR="00F76760" w:rsidRDefault="00266ED9" w:rsidP="0033452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any payment should be made to enumerators</w:t>
      </w:r>
      <w:r w:rsidR="00AC31A4">
        <w:rPr>
          <w:rFonts w:asciiTheme="majorHAnsi" w:hAnsiTheme="majorHAnsi"/>
          <w:sz w:val="24"/>
          <w:szCs w:val="24"/>
        </w:rPr>
        <w:t>,</w:t>
      </w:r>
      <w:r w:rsidR="00A7112B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 the following rates should be considered. </w:t>
      </w:r>
    </w:p>
    <w:p w:rsidR="00730E10" w:rsidRPr="00334523" w:rsidRDefault="00266ED9" w:rsidP="0033452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Payments for filling in the questioners; </w:t>
      </w:r>
    </w:p>
    <w:p w:rsidR="00730E10" w:rsidRDefault="00730E10" w:rsidP="002B1859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890"/>
        <w:gridCol w:w="2160"/>
        <w:gridCol w:w="3690"/>
      </w:tblGrid>
      <w:tr w:rsidR="00730E10" w:rsidTr="00F82767">
        <w:trPr>
          <w:trHeight w:val="432"/>
        </w:trPr>
        <w:tc>
          <w:tcPr>
            <w:tcW w:w="1890" w:type="dxa"/>
            <w:vAlign w:val="center"/>
          </w:tcPr>
          <w:p w:rsidR="00730E10" w:rsidRDefault="00F82767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Category</w:t>
            </w:r>
          </w:p>
        </w:tc>
        <w:tc>
          <w:tcPr>
            <w:tcW w:w="2160" w:type="dxa"/>
            <w:vAlign w:val="center"/>
          </w:tcPr>
          <w:p w:rsidR="00730E10" w:rsidRDefault="00F82767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Pages</w:t>
            </w:r>
            <w:r w:rsidR="00266ED9">
              <w:rPr>
                <w:rFonts w:asciiTheme="majorHAnsi" w:hAnsiTheme="majorHAnsi"/>
                <w:sz w:val="24"/>
                <w:szCs w:val="24"/>
              </w:rPr>
              <w:t xml:space="preserve"> (A4)</w:t>
            </w:r>
          </w:p>
        </w:tc>
        <w:tc>
          <w:tcPr>
            <w:tcW w:w="3690" w:type="dxa"/>
            <w:vAlign w:val="center"/>
          </w:tcPr>
          <w:p w:rsidR="00730E10" w:rsidRDefault="00F82767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Payment per questionnaire (Rs)</w:t>
            </w:r>
          </w:p>
        </w:tc>
      </w:tr>
      <w:tr w:rsidR="00730E10" w:rsidTr="00F82767">
        <w:trPr>
          <w:trHeight w:val="432"/>
        </w:trPr>
        <w:tc>
          <w:tcPr>
            <w:tcW w:w="1890" w:type="dxa"/>
            <w:vAlign w:val="center"/>
          </w:tcPr>
          <w:p w:rsidR="00730E10" w:rsidRDefault="00F82767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2160" w:type="dxa"/>
            <w:vAlign w:val="center"/>
          </w:tcPr>
          <w:p w:rsidR="00730E10" w:rsidRDefault="00F82767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1 - 2</w:t>
            </w:r>
          </w:p>
        </w:tc>
        <w:tc>
          <w:tcPr>
            <w:tcW w:w="3690" w:type="dxa"/>
            <w:vAlign w:val="center"/>
          </w:tcPr>
          <w:p w:rsidR="00730E10" w:rsidRDefault="00334523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</w:t>
            </w:r>
          </w:p>
        </w:tc>
      </w:tr>
      <w:tr w:rsidR="00730E10" w:rsidTr="00F82767">
        <w:trPr>
          <w:trHeight w:val="432"/>
        </w:trPr>
        <w:tc>
          <w:tcPr>
            <w:tcW w:w="1890" w:type="dxa"/>
            <w:vAlign w:val="center"/>
          </w:tcPr>
          <w:p w:rsidR="00730E10" w:rsidRDefault="00F82767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</w:t>
            </w:r>
          </w:p>
        </w:tc>
        <w:tc>
          <w:tcPr>
            <w:tcW w:w="2160" w:type="dxa"/>
            <w:vAlign w:val="center"/>
          </w:tcPr>
          <w:p w:rsidR="00730E10" w:rsidRDefault="00F82767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2 - 4</w:t>
            </w:r>
          </w:p>
        </w:tc>
        <w:tc>
          <w:tcPr>
            <w:tcW w:w="3690" w:type="dxa"/>
            <w:vAlign w:val="center"/>
          </w:tcPr>
          <w:p w:rsidR="00730E10" w:rsidRDefault="00334523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400</w:t>
            </w:r>
          </w:p>
        </w:tc>
      </w:tr>
      <w:tr w:rsidR="00730E10" w:rsidTr="00F82767">
        <w:trPr>
          <w:trHeight w:val="432"/>
        </w:trPr>
        <w:tc>
          <w:tcPr>
            <w:tcW w:w="1890" w:type="dxa"/>
            <w:vAlign w:val="center"/>
          </w:tcPr>
          <w:p w:rsidR="00730E10" w:rsidRDefault="00F82767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</w:p>
        </w:tc>
        <w:tc>
          <w:tcPr>
            <w:tcW w:w="2160" w:type="dxa"/>
            <w:vAlign w:val="center"/>
          </w:tcPr>
          <w:p w:rsidR="00730E10" w:rsidRDefault="00334523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F82767">
              <w:rPr>
                <w:rFonts w:asciiTheme="majorHAnsi" w:hAnsiTheme="majorHAnsi"/>
                <w:sz w:val="24"/>
                <w:szCs w:val="24"/>
              </w:rPr>
              <w:t>bove 4</w:t>
            </w:r>
          </w:p>
        </w:tc>
        <w:tc>
          <w:tcPr>
            <w:tcW w:w="3690" w:type="dxa"/>
            <w:vAlign w:val="center"/>
          </w:tcPr>
          <w:p w:rsidR="00730E10" w:rsidRDefault="00334523" w:rsidP="00F827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500</w:t>
            </w:r>
          </w:p>
        </w:tc>
      </w:tr>
    </w:tbl>
    <w:p w:rsidR="00730E10" w:rsidRDefault="00730E10" w:rsidP="002B1859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30E10" w:rsidRDefault="00334523" w:rsidP="0033452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depth /focus group discussion</w:t>
      </w:r>
    </w:p>
    <w:p w:rsidR="00334523" w:rsidRDefault="00266ED9" w:rsidP="00334523">
      <w:pPr>
        <w:pStyle w:val="ListParagraph"/>
        <w:spacing w:after="0"/>
        <w:ind w:left="4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maximum amount that can be paid to an enumerator for conducting in</w:t>
      </w:r>
      <w:r w:rsidR="00AC31A4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depth focus group discussions is Rs.2000 per session</w:t>
      </w:r>
      <w:r w:rsidR="00A7112B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>.</w:t>
      </w:r>
    </w:p>
    <w:p w:rsidR="0014477E" w:rsidRDefault="0014477E" w:rsidP="00334523">
      <w:pPr>
        <w:pStyle w:val="ListParagraph"/>
        <w:spacing w:after="0"/>
        <w:ind w:left="420"/>
        <w:jc w:val="both"/>
        <w:rPr>
          <w:rFonts w:asciiTheme="majorHAnsi" w:hAnsiTheme="majorHAnsi"/>
          <w:sz w:val="16"/>
          <w:szCs w:val="16"/>
        </w:rPr>
      </w:pPr>
    </w:p>
    <w:p w:rsidR="00C9560B" w:rsidRDefault="00C9560B" w:rsidP="00334523">
      <w:pPr>
        <w:pStyle w:val="ListParagraph"/>
        <w:spacing w:after="0"/>
        <w:ind w:left="420"/>
        <w:jc w:val="both"/>
        <w:rPr>
          <w:rFonts w:asciiTheme="majorHAnsi" w:hAnsiTheme="majorHAnsi"/>
          <w:sz w:val="16"/>
          <w:szCs w:val="16"/>
        </w:rPr>
      </w:pPr>
    </w:p>
    <w:p w:rsidR="00CE082F" w:rsidRDefault="00CE082F" w:rsidP="0033452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Travelling </w:t>
      </w:r>
    </w:p>
    <w:p w:rsidR="00CE082F" w:rsidRDefault="00266ED9" w:rsidP="00CE082F">
      <w:pPr>
        <w:pStyle w:val="ListParagraph"/>
        <w:spacing w:after="0"/>
        <w:ind w:left="4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 enumerator is eligible to apply for</w:t>
      </w:r>
      <w:r w:rsidR="00AC31A4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 travelling allowance </w:t>
      </w:r>
      <w:r w:rsidR="00EB4EBF">
        <w:rPr>
          <w:rFonts w:asciiTheme="majorHAnsi" w:hAnsiTheme="majorHAnsi"/>
          <w:sz w:val="24"/>
          <w:szCs w:val="24"/>
        </w:rPr>
        <w:t>at the rate of Rs.1.50 per km. H</w:t>
      </w:r>
      <w:r>
        <w:rPr>
          <w:rFonts w:asciiTheme="majorHAnsi" w:hAnsiTheme="majorHAnsi"/>
          <w:sz w:val="24"/>
          <w:szCs w:val="24"/>
        </w:rPr>
        <w:t xml:space="preserve">owever, enumerators or field assistances are </w:t>
      </w:r>
      <w:r w:rsidR="00C9560B" w:rsidRPr="0014477E">
        <w:rPr>
          <w:rFonts w:asciiTheme="majorHAnsi" w:hAnsiTheme="majorHAnsi"/>
          <w:sz w:val="24"/>
          <w:szCs w:val="24"/>
        </w:rPr>
        <w:t xml:space="preserve">not eligible for </w:t>
      </w:r>
      <w:r w:rsidR="00C9560B">
        <w:rPr>
          <w:rFonts w:asciiTheme="majorHAnsi" w:hAnsiTheme="majorHAnsi"/>
          <w:sz w:val="24"/>
          <w:szCs w:val="24"/>
        </w:rPr>
        <w:t xml:space="preserve">accommodation, </w:t>
      </w:r>
      <w:r w:rsidR="00C9560B" w:rsidRPr="0014477E">
        <w:rPr>
          <w:rFonts w:asciiTheme="majorHAnsi" w:hAnsiTheme="majorHAnsi"/>
          <w:sz w:val="24"/>
          <w:szCs w:val="24"/>
        </w:rPr>
        <w:t>subsistence and meals</w:t>
      </w:r>
      <w:r w:rsidR="00C9560B">
        <w:rPr>
          <w:rFonts w:asciiTheme="majorHAnsi" w:hAnsiTheme="majorHAnsi"/>
          <w:sz w:val="24"/>
          <w:szCs w:val="24"/>
        </w:rPr>
        <w:t>.</w:t>
      </w:r>
    </w:p>
    <w:p w:rsidR="00BA7441" w:rsidRPr="00BA7441" w:rsidRDefault="00BA7441" w:rsidP="00CE082F">
      <w:pPr>
        <w:pStyle w:val="ListParagraph"/>
        <w:spacing w:after="0"/>
        <w:ind w:left="420"/>
        <w:jc w:val="both"/>
        <w:rPr>
          <w:rFonts w:asciiTheme="majorHAnsi" w:hAnsiTheme="majorHAnsi"/>
          <w:sz w:val="16"/>
          <w:szCs w:val="16"/>
        </w:rPr>
      </w:pPr>
    </w:p>
    <w:p w:rsidR="00E00436" w:rsidRPr="00D528B7" w:rsidRDefault="00C9560B" w:rsidP="00E00436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Payment for PI, Co-researcher and RA</w:t>
      </w:r>
    </w:p>
    <w:p w:rsidR="00E00436" w:rsidRDefault="00D528B7" w:rsidP="00E00436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PI, Co Researcher </w:t>
      </w:r>
      <w:r w:rsidR="00C9560B">
        <w:rPr>
          <w:rFonts w:asciiTheme="majorHAnsi" w:hAnsiTheme="majorHAnsi"/>
          <w:sz w:val="24"/>
          <w:szCs w:val="24"/>
        </w:rPr>
        <w:t>may apply for an allowance for accommodation as follows;</w:t>
      </w:r>
    </w:p>
    <w:p w:rsidR="00D528B7" w:rsidRPr="00D528B7" w:rsidRDefault="00D528B7" w:rsidP="00E00436">
      <w:pPr>
        <w:pStyle w:val="ListParagraph"/>
        <w:spacing w:after="0"/>
        <w:ind w:left="0"/>
        <w:jc w:val="both"/>
        <w:rPr>
          <w:rFonts w:asciiTheme="majorHAnsi" w:hAnsiTheme="majorHAnsi"/>
          <w:sz w:val="16"/>
          <w:szCs w:val="16"/>
        </w:rPr>
      </w:pPr>
    </w:p>
    <w:p w:rsidR="00D528B7" w:rsidRDefault="00D528B7" w:rsidP="00D528B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For </w:t>
      </w:r>
      <w:r w:rsidR="00C9560B">
        <w:rPr>
          <w:rFonts w:asciiTheme="majorHAnsi" w:hAnsiTheme="majorHAnsi"/>
          <w:sz w:val="24"/>
          <w:szCs w:val="24"/>
        </w:rPr>
        <w:t xml:space="preserve">an </w:t>
      </w:r>
      <w:r>
        <w:rPr>
          <w:rFonts w:asciiTheme="majorHAnsi" w:hAnsiTheme="majorHAnsi"/>
          <w:sz w:val="24"/>
          <w:szCs w:val="24"/>
        </w:rPr>
        <w:t>overnight stay</w:t>
      </w:r>
      <w:r w:rsidR="0031304F">
        <w:rPr>
          <w:rFonts w:asciiTheme="majorHAnsi" w:hAnsiTheme="majorHAnsi"/>
          <w:sz w:val="24"/>
          <w:szCs w:val="24"/>
        </w:rPr>
        <w:t>,</w:t>
      </w:r>
      <w:r w:rsidR="00C9560B">
        <w:rPr>
          <w:rFonts w:asciiTheme="majorHAnsi" w:hAnsiTheme="majorHAnsi"/>
          <w:sz w:val="24"/>
          <w:szCs w:val="24"/>
        </w:rPr>
        <w:t xml:space="preserve"> maximum up to 4 night</w:t>
      </w:r>
      <w:r w:rsidR="00AC31A4">
        <w:rPr>
          <w:rFonts w:asciiTheme="majorHAnsi" w:hAnsiTheme="majorHAnsi"/>
          <w:sz w:val="24"/>
          <w:szCs w:val="24"/>
        </w:rPr>
        <w:t>s</w:t>
      </w:r>
      <w:r w:rsidR="00C9560B">
        <w:rPr>
          <w:rFonts w:asciiTheme="majorHAnsi" w:hAnsiTheme="majorHAnsi"/>
          <w:sz w:val="24"/>
          <w:szCs w:val="24"/>
        </w:rPr>
        <w:t xml:space="preserve"> per</w:t>
      </w:r>
      <w:r w:rsidR="00F7676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month;</w:t>
      </w:r>
    </w:p>
    <w:p w:rsidR="00D528B7" w:rsidRDefault="00C9560B" w:rsidP="00E00436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PI /CR – Rs. 3000 per </w:t>
      </w:r>
      <w:r w:rsidR="00D528B7">
        <w:rPr>
          <w:rFonts w:asciiTheme="majorHAnsi" w:hAnsiTheme="majorHAnsi"/>
          <w:sz w:val="24"/>
          <w:szCs w:val="24"/>
        </w:rPr>
        <w:t>night including meals</w:t>
      </w:r>
    </w:p>
    <w:p w:rsidR="00D528B7" w:rsidRPr="00D528B7" w:rsidRDefault="00C9560B" w:rsidP="00E00436">
      <w:pPr>
        <w:pStyle w:val="ListParagraph"/>
        <w:spacing w:after="0"/>
        <w:ind w:left="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</w:p>
    <w:p w:rsidR="00D528B7" w:rsidRDefault="00C9560B" w:rsidP="00D528B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the field visit is limited to one day</w:t>
      </w:r>
      <w:r w:rsidR="00AC31A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PI/CR/RA is eligible for </w:t>
      </w:r>
      <w:r w:rsidR="00D528B7">
        <w:rPr>
          <w:rFonts w:asciiTheme="majorHAnsi" w:hAnsiTheme="majorHAnsi"/>
          <w:sz w:val="24"/>
          <w:szCs w:val="24"/>
        </w:rPr>
        <w:t>Rs. 500 as subsistence</w:t>
      </w:r>
    </w:p>
    <w:p w:rsidR="00D528B7" w:rsidRDefault="00D528B7" w:rsidP="00D528B7">
      <w:pPr>
        <w:pStyle w:val="ListParagraph"/>
        <w:spacing w:after="0"/>
        <w:ind w:left="420"/>
        <w:jc w:val="both"/>
        <w:rPr>
          <w:rFonts w:asciiTheme="majorHAnsi" w:hAnsiTheme="majorHAnsi"/>
          <w:sz w:val="24"/>
          <w:szCs w:val="24"/>
        </w:rPr>
      </w:pPr>
    </w:p>
    <w:p w:rsidR="00D528B7" w:rsidRPr="00993FFD" w:rsidRDefault="00993FFD" w:rsidP="00993FFD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  <w:r w:rsidRPr="00993FFD">
        <w:rPr>
          <w:rFonts w:asciiTheme="majorHAnsi" w:hAnsiTheme="majorHAnsi"/>
          <w:b/>
          <w:bCs/>
          <w:sz w:val="24"/>
          <w:szCs w:val="24"/>
        </w:rPr>
        <w:t>Travelling</w:t>
      </w:r>
    </w:p>
    <w:p w:rsidR="008A3EA5" w:rsidRDefault="00C9560B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Travelling can be claimed b</w:t>
      </w:r>
      <w:r w:rsidR="00EB4EBF">
        <w:rPr>
          <w:rFonts w:asciiTheme="majorHAnsi" w:hAnsiTheme="majorHAnsi"/>
          <w:sz w:val="24"/>
          <w:szCs w:val="24"/>
        </w:rPr>
        <w:t xml:space="preserve">y the PI or CR as follows; Rs.40 per km. </w:t>
      </w:r>
    </w:p>
    <w:p w:rsidR="00EB4EBF" w:rsidRDefault="00EB4EBF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993FFD" w:rsidRPr="00993FFD" w:rsidRDefault="00F76760" w:rsidP="00993FFD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Editing</w:t>
      </w:r>
    </w:p>
    <w:p w:rsidR="00F76760" w:rsidRDefault="00C9560B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expert</w:t>
      </w:r>
      <w:r w:rsidR="00F76760">
        <w:rPr>
          <w:rFonts w:asciiTheme="majorHAnsi" w:hAnsiTheme="majorHAnsi"/>
          <w:sz w:val="24"/>
          <w:szCs w:val="24"/>
        </w:rPr>
        <w:t xml:space="preserve"> assistance</w:t>
      </w:r>
      <w:r w:rsidR="00A7112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is needed in </w:t>
      </w:r>
      <w:r w:rsidR="00F76760">
        <w:rPr>
          <w:rFonts w:asciiTheme="majorHAnsi" w:hAnsiTheme="majorHAnsi"/>
          <w:sz w:val="24"/>
          <w:szCs w:val="24"/>
        </w:rPr>
        <w:t>editing</w:t>
      </w:r>
      <w:r>
        <w:rPr>
          <w:rFonts w:asciiTheme="majorHAnsi" w:hAnsiTheme="majorHAnsi"/>
          <w:sz w:val="24"/>
          <w:szCs w:val="24"/>
        </w:rPr>
        <w:t xml:space="preserve"> the final report manuscript</w:t>
      </w:r>
      <w:r w:rsidR="00AC31A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payments</w:t>
      </w:r>
      <w:r w:rsidR="00A7112B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 can be made as follows; </w:t>
      </w:r>
    </w:p>
    <w:p w:rsidR="00F76760" w:rsidRDefault="00C9560B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1.) Rs.500 per page </w:t>
      </w:r>
    </w:p>
    <w:p w:rsidR="00993FFD" w:rsidRDefault="00C9560B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2.) A4 size/font size 12/ 1.5 space</w:t>
      </w:r>
    </w:p>
    <w:p w:rsidR="00A7112B" w:rsidRDefault="00A7112B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However</w:t>
      </w:r>
      <w:r w:rsidR="00DD729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no payments will be </w:t>
      </w:r>
      <w:r w:rsidR="00DD7291">
        <w:rPr>
          <w:rFonts w:asciiTheme="majorHAnsi" w:hAnsiTheme="majorHAnsi"/>
          <w:sz w:val="24"/>
          <w:szCs w:val="24"/>
        </w:rPr>
        <w:t>made</w:t>
      </w:r>
      <w:r>
        <w:rPr>
          <w:rFonts w:asciiTheme="majorHAnsi" w:hAnsiTheme="majorHAnsi"/>
          <w:sz w:val="24"/>
          <w:szCs w:val="24"/>
        </w:rPr>
        <w:t xml:space="preserve"> for typesetting.</w:t>
      </w:r>
    </w:p>
    <w:p w:rsidR="00993FFD" w:rsidRDefault="00993FFD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993FFD" w:rsidRPr="00993FFD" w:rsidRDefault="00993FFD" w:rsidP="00993FFD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  <w:r w:rsidRPr="00993FFD">
        <w:rPr>
          <w:rFonts w:asciiTheme="majorHAnsi" w:hAnsiTheme="majorHAnsi"/>
          <w:b/>
          <w:bCs/>
          <w:sz w:val="24"/>
          <w:szCs w:val="24"/>
        </w:rPr>
        <w:t>Miscellaneous</w:t>
      </w:r>
    </w:p>
    <w:p w:rsidR="00993FFD" w:rsidRDefault="00C9560B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allocation for miscellaneous should not exceed 2% of the total budget. </w:t>
      </w:r>
    </w:p>
    <w:p w:rsidR="00C9560B" w:rsidRDefault="00C9560B" w:rsidP="00993FFD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BA7441" w:rsidRDefault="00EB4EBF" w:rsidP="009B7321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</w:t>
      </w:r>
      <w:r w:rsidR="00C9560B">
        <w:rPr>
          <w:rFonts w:asciiTheme="majorHAnsi" w:hAnsiTheme="majorHAnsi"/>
          <w:sz w:val="24"/>
          <w:szCs w:val="24"/>
        </w:rPr>
        <w:t xml:space="preserve">All payments </w:t>
      </w:r>
      <w:r w:rsidR="00F76760">
        <w:rPr>
          <w:rFonts w:asciiTheme="majorHAnsi" w:hAnsiTheme="majorHAnsi"/>
          <w:sz w:val="24"/>
          <w:szCs w:val="24"/>
        </w:rPr>
        <w:t>will be</w:t>
      </w:r>
      <w:r w:rsidR="00A7112B">
        <w:rPr>
          <w:rFonts w:asciiTheme="majorHAnsi" w:hAnsiTheme="majorHAnsi"/>
          <w:sz w:val="24"/>
          <w:szCs w:val="24"/>
        </w:rPr>
        <w:t xml:space="preserve"> </w:t>
      </w:r>
      <w:r w:rsidR="00F76760">
        <w:rPr>
          <w:rFonts w:asciiTheme="majorHAnsi" w:hAnsiTheme="majorHAnsi"/>
          <w:sz w:val="24"/>
          <w:szCs w:val="24"/>
        </w:rPr>
        <w:t>made</w:t>
      </w:r>
      <w:r w:rsidR="00C9560B">
        <w:rPr>
          <w:rFonts w:asciiTheme="majorHAnsi" w:hAnsiTheme="majorHAnsi"/>
          <w:sz w:val="24"/>
          <w:szCs w:val="24"/>
        </w:rPr>
        <w:t xml:space="preserve"> to the relevant individual</w:t>
      </w:r>
      <w:r w:rsidR="00F76760">
        <w:rPr>
          <w:rFonts w:asciiTheme="majorHAnsi" w:hAnsiTheme="majorHAnsi"/>
          <w:sz w:val="24"/>
          <w:szCs w:val="24"/>
        </w:rPr>
        <w:t>’</w:t>
      </w:r>
      <w:r w:rsidR="00C9560B">
        <w:rPr>
          <w:rFonts w:asciiTheme="majorHAnsi" w:hAnsiTheme="majorHAnsi"/>
          <w:sz w:val="24"/>
          <w:szCs w:val="24"/>
        </w:rPr>
        <w:t xml:space="preserve">s names via cheque written </w:t>
      </w:r>
      <w:r w:rsidR="00F76760">
        <w:rPr>
          <w:rFonts w:asciiTheme="majorHAnsi" w:hAnsiTheme="majorHAnsi"/>
          <w:sz w:val="24"/>
          <w:szCs w:val="24"/>
        </w:rPr>
        <w:t>to</w:t>
      </w:r>
      <w:r w:rsidR="00C9560B">
        <w:rPr>
          <w:rFonts w:asciiTheme="majorHAnsi" w:hAnsiTheme="majorHAnsi"/>
          <w:sz w:val="24"/>
          <w:szCs w:val="24"/>
        </w:rPr>
        <w:t xml:space="preserve"> her/his name. </w:t>
      </w:r>
    </w:p>
    <w:p w:rsidR="008A3EA5" w:rsidRPr="008A3EA5" w:rsidRDefault="008A3EA5" w:rsidP="008A3EA5">
      <w:pPr>
        <w:numPr>
          <w:ilvl w:val="0"/>
          <w:numId w:val="4"/>
        </w:numPr>
        <w:spacing w:after="0"/>
        <w:contextualSpacing/>
        <w:jc w:val="both"/>
        <w:rPr>
          <w:rFonts w:ascii="Cambria" w:eastAsia="Calibri" w:hAnsi="Cambria" w:cs="Iskoola Pota"/>
          <w:sz w:val="24"/>
          <w:szCs w:val="24"/>
        </w:rPr>
      </w:pPr>
      <w:r w:rsidRPr="008A3EA5">
        <w:rPr>
          <w:rFonts w:ascii="Cambria" w:eastAsia="Calibri" w:hAnsi="Cambria" w:cs="Iskoola Pota"/>
          <w:sz w:val="24"/>
          <w:szCs w:val="24"/>
        </w:rPr>
        <w:t>This is not to use budgeted items.</w:t>
      </w:r>
    </w:p>
    <w:p w:rsidR="008A3EA5" w:rsidRPr="008A3EA5" w:rsidRDefault="008A3EA5" w:rsidP="008A3EA5">
      <w:pPr>
        <w:numPr>
          <w:ilvl w:val="0"/>
          <w:numId w:val="4"/>
        </w:numPr>
        <w:spacing w:after="0"/>
        <w:contextualSpacing/>
        <w:jc w:val="both"/>
        <w:rPr>
          <w:rFonts w:ascii="Cambria" w:eastAsia="Calibri" w:hAnsi="Cambria" w:cs="Iskoola Pota"/>
          <w:sz w:val="24"/>
          <w:szCs w:val="24"/>
        </w:rPr>
      </w:pPr>
      <w:r w:rsidRPr="008A3EA5">
        <w:rPr>
          <w:rFonts w:ascii="Cambria" w:eastAsia="Calibri" w:hAnsi="Cambria" w:cs="Iskoola Pota"/>
          <w:sz w:val="24"/>
          <w:szCs w:val="24"/>
        </w:rPr>
        <w:t>All payments will be made for the bills provided.</w:t>
      </w:r>
    </w:p>
    <w:p w:rsidR="008A3EA5" w:rsidRPr="008A3EA5" w:rsidRDefault="008A3EA5" w:rsidP="008A3EA5">
      <w:pPr>
        <w:numPr>
          <w:ilvl w:val="0"/>
          <w:numId w:val="4"/>
        </w:numPr>
        <w:spacing w:after="0"/>
        <w:contextualSpacing/>
        <w:jc w:val="both"/>
        <w:rPr>
          <w:rFonts w:ascii="Cambria" w:eastAsia="Calibri" w:hAnsi="Cambria" w:cs="Iskoola Pota"/>
          <w:sz w:val="24"/>
          <w:szCs w:val="24"/>
        </w:rPr>
      </w:pPr>
      <w:r w:rsidRPr="008A3EA5">
        <w:rPr>
          <w:rFonts w:ascii="Cambria" w:eastAsia="Calibri" w:hAnsi="Cambria" w:cs="Iskoola Pota"/>
          <w:sz w:val="24"/>
          <w:szCs w:val="24"/>
        </w:rPr>
        <w:t>Laptops cannot be purchased from the research budget.</w:t>
      </w:r>
    </w:p>
    <w:p w:rsidR="008A3EA5" w:rsidRPr="008A3EA5" w:rsidRDefault="008A3EA5" w:rsidP="008A3EA5">
      <w:pPr>
        <w:numPr>
          <w:ilvl w:val="0"/>
          <w:numId w:val="4"/>
        </w:numPr>
        <w:spacing w:after="0"/>
        <w:contextualSpacing/>
        <w:jc w:val="both"/>
        <w:rPr>
          <w:rFonts w:ascii="Cambria" w:eastAsia="Calibri" w:hAnsi="Cambria" w:cs="Iskoola Pota"/>
          <w:sz w:val="24"/>
          <w:szCs w:val="24"/>
        </w:rPr>
      </w:pPr>
      <w:r w:rsidRPr="008A3EA5">
        <w:rPr>
          <w:rFonts w:ascii="Cambria" w:eastAsia="Calibri" w:hAnsi="Cambria" w:cs="Iskoola Pota"/>
          <w:sz w:val="24"/>
          <w:szCs w:val="24"/>
        </w:rPr>
        <w:t>Journal publication fee cannot be reimbursed from the research grant.</w:t>
      </w:r>
    </w:p>
    <w:p w:rsidR="008A3EA5" w:rsidRPr="008A3EA5" w:rsidRDefault="008A3EA5" w:rsidP="008A3EA5">
      <w:pPr>
        <w:numPr>
          <w:ilvl w:val="0"/>
          <w:numId w:val="4"/>
        </w:numPr>
        <w:spacing w:after="0"/>
        <w:contextualSpacing/>
        <w:jc w:val="both"/>
        <w:rPr>
          <w:rFonts w:ascii="Cambria" w:eastAsia="Calibri" w:hAnsi="Cambria" w:cs="Iskoola Pota"/>
          <w:sz w:val="24"/>
          <w:szCs w:val="24"/>
        </w:rPr>
      </w:pPr>
      <w:r w:rsidRPr="008A3EA5">
        <w:rPr>
          <w:rFonts w:ascii="Cambria" w:eastAsia="Calibri" w:hAnsi="Cambria" w:cs="Iskoola Pota"/>
          <w:sz w:val="24"/>
          <w:szCs w:val="24"/>
        </w:rPr>
        <w:t>Strictly follow the government procurement guidelines.</w:t>
      </w:r>
    </w:p>
    <w:p w:rsidR="008A3EA5" w:rsidRPr="0014477E" w:rsidRDefault="008A3EA5" w:rsidP="009B7321">
      <w:pPr>
        <w:pStyle w:val="ListParagraph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sectPr w:rsidR="008A3EA5" w:rsidRPr="0014477E" w:rsidSect="0041606A">
      <w:headerReference w:type="default" r:id="rId9"/>
      <w:pgSz w:w="11907" w:h="16839" w:code="9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74" w:rsidRDefault="00E86074" w:rsidP="007F6D94">
      <w:pPr>
        <w:spacing w:after="0" w:line="240" w:lineRule="auto"/>
      </w:pPr>
      <w:r>
        <w:separator/>
      </w:r>
    </w:p>
  </w:endnote>
  <w:endnote w:type="continuationSeparator" w:id="0">
    <w:p w:rsidR="00E86074" w:rsidRDefault="00E86074" w:rsidP="007F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altName w:val="Nirmala UI"/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74" w:rsidRDefault="00E86074" w:rsidP="007F6D94">
      <w:pPr>
        <w:spacing w:after="0" w:line="240" w:lineRule="auto"/>
      </w:pPr>
      <w:r>
        <w:separator/>
      </w:r>
    </w:p>
  </w:footnote>
  <w:footnote w:type="continuationSeparator" w:id="0">
    <w:p w:rsidR="00E86074" w:rsidRDefault="00E86074" w:rsidP="007F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6A" w:rsidRDefault="0041606A">
    <w:pPr>
      <w:pStyle w:val="Header"/>
    </w:pPr>
  </w:p>
  <w:p w:rsidR="0041606A" w:rsidRDefault="004160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186"/>
    <w:multiLevelType w:val="hybridMultilevel"/>
    <w:tmpl w:val="ED50DBBE"/>
    <w:lvl w:ilvl="0" w:tplc="99FA9446">
      <w:start w:val="2"/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37C3543"/>
    <w:multiLevelType w:val="hybridMultilevel"/>
    <w:tmpl w:val="10BA0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BA6A3C"/>
    <w:multiLevelType w:val="hybridMultilevel"/>
    <w:tmpl w:val="0B483D1E"/>
    <w:lvl w:ilvl="0" w:tplc="8F146E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31978"/>
    <w:multiLevelType w:val="hybridMultilevel"/>
    <w:tmpl w:val="EFB45C88"/>
    <w:lvl w:ilvl="0" w:tplc="690454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86"/>
    <w:rsid w:val="0014477E"/>
    <w:rsid w:val="00266ED9"/>
    <w:rsid w:val="002A1539"/>
    <w:rsid w:val="002B1859"/>
    <w:rsid w:val="002F6BCF"/>
    <w:rsid w:val="0031304F"/>
    <w:rsid w:val="00334523"/>
    <w:rsid w:val="003D7763"/>
    <w:rsid w:val="003F4E88"/>
    <w:rsid w:val="0041606A"/>
    <w:rsid w:val="00475914"/>
    <w:rsid w:val="004C1D57"/>
    <w:rsid w:val="004D5E10"/>
    <w:rsid w:val="005342CE"/>
    <w:rsid w:val="0053663A"/>
    <w:rsid w:val="00550830"/>
    <w:rsid w:val="005A3586"/>
    <w:rsid w:val="00684D1A"/>
    <w:rsid w:val="00730E10"/>
    <w:rsid w:val="00760CDF"/>
    <w:rsid w:val="007657AE"/>
    <w:rsid w:val="007847F4"/>
    <w:rsid w:val="007F6D94"/>
    <w:rsid w:val="0083626E"/>
    <w:rsid w:val="008875FA"/>
    <w:rsid w:val="008A3EA5"/>
    <w:rsid w:val="00993FFD"/>
    <w:rsid w:val="009B7321"/>
    <w:rsid w:val="009C5140"/>
    <w:rsid w:val="00A61CFF"/>
    <w:rsid w:val="00A7112B"/>
    <w:rsid w:val="00A91A15"/>
    <w:rsid w:val="00AC31A4"/>
    <w:rsid w:val="00B22602"/>
    <w:rsid w:val="00B52D88"/>
    <w:rsid w:val="00BA7441"/>
    <w:rsid w:val="00C73DEE"/>
    <w:rsid w:val="00C9560B"/>
    <w:rsid w:val="00CE082F"/>
    <w:rsid w:val="00D528B7"/>
    <w:rsid w:val="00D63CDC"/>
    <w:rsid w:val="00DD7291"/>
    <w:rsid w:val="00E00436"/>
    <w:rsid w:val="00E46456"/>
    <w:rsid w:val="00E86074"/>
    <w:rsid w:val="00EB4EBF"/>
    <w:rsid w:val="00EF06FF"/>
    <w:rsid w:val="00F76760"/>
    <w:rsid w:val="00F82767"/>
    <w:rsid w:val="00FF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10"/>
    <w:pPr>
      <w:ind w:left="720"/>
      <w:contextualSpacing/>
    </w:pPr>
  </w:style>
  <w:style w:type="table" w:styleId="TableGrid">
    <w:name w:val="Table Grid"/>
    <w:basedOn w:val="TableNormal"/>
    <w:uiPriority w:val="59"/>
    <w:rsid w:val="00730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D94"/>
  </w:style>
  <w:style w:type="paragraph" w:styleId="Footer">
    <w:name w:val="footer"/>
    <w:basedOn w:val="Normal"/>
    <w:link w:val="FooterChar"/>
    <w:uiPriority w:val="99"/>
    <w:unhideWhenUsed/>
    <w:rsid w:val="007F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10"/>
    <w:pPr>
      <w:ind w:left="720"/>
      <w:contextualSpacing/>
    </w:pPr>
  </w:style>
  <w:style w:type="table" w:styleId="TableGrid">
    <w:name w:val="Table Grid"/>
    <w:basedOn w:val="TableNormal"/>
    <w:uiPriority w:val="59"/>
    <w:rsid w:val="00730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D94"/>
  </w:style>
  <w:style w:type="paragraph" w:styleId="Footer">
    <w:name w:val="footer"/>
    <w:basedOn w:val="Normal"/>
    <w:link w:val="FooterChar"/>
    <w:uiPriority w:val="99"/>
    <w:unhideWhenUsed/>
    <w:rsid w:val="007F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15FB-609D-4A81-B477-B4E54115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Utilization of Mini-Research Grant Fund</vt:lpstr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Utilization of Mini-Research Grant Fund</dc:title>
  <dc:creator>Windows User</dc:creator>
  <cp:lastModifiedBy>Research</cp:lastModifiedBy>
  <cp:revision>5</cp:revision>
  <cp:lastPrinted>2019-01-08T05:47:00Z</cp:lastPrinted>
  <dcterms:created xsi:type="dcterms:W3CDTF">2019-01-08T05:33:00Z</dcterms:created>
  <dcterms:modified xsi:type="dcterms:W3CDTF">2019-01-08T05:48:00Z</dcterms:modified>
</cp:coreProperties>
</file>